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noProof/>
          <w:lang w:eastAsia="en-GB"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84CB054" w14:textId="541D8786" w:rsidR="001B1515" w:rsidRPr="001B1515" w:rsidRDefault="005105DF" w:rsidP="005105DF">
            <w:pPr>
              <w:pStyle w:val="Heading1"/>
              <w:outlineLvl w:val="0"/>
            </w:pPr>
            <w:r>
              <w:t xml:space="preserve">NW London Joint </w:t>
            </w:r>
            <w:r w:rsidR="001B1515">
              <w:t xml:space="preserve">Overview and Scrutiny Committee </w:t>
            </w:r>
          </w:p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37A707B3" w:rsidR="001B1515" w:rsidRDefault="008D0C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8D0C3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2021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71C0C1D8" w:rsidR="001B1515" w:rsidRDefault="00232895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NW London Workforce Update</w:t>
            </w: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3C16750F" w:rsidR="001B1515" w:rsidRDefault="008D0C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Claire Murdoch, CEO CNWL and SRO for Workforce</w:t>
            </w:r>
          </w:p>
          <w:p w14:paraId="2B0AA452" w14:textId="77777777" w:rsidR="001B1515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093E815D" w:rsidR="00B764AC" w:rsidRPr="000F2599" w:rsidRDefault="005105DF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Report author:</w:t>
            </w:r>
            <w:r w:rsidR="00B764AC" w:rsidRPr="000F2599">
              <w:rPr>
                <w:rFonts w:ascii="Arial Black" w:hAnsi="Arial Black" w:cs="Arial"/>
              </w:rPr>
              <w:t xml:space="preserve"> </w:t>
            </w:r>
          </w:p>
          <w:p w14:paraId="43719D23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0C79B421" w14:textId="1F02487F" w:rsidR="00B764AC" w:rsidRDefault="00232895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Charlotte Bailey, CPO NW London ICS</w:t>
            </w:r>
          </w:p>
          <w:p w14:paraId="35A3FD64" w14:textId="5AF5F851" w:rsidR="00232895" w:rsidRDefault="00232895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Lindsey Waddell, </w:t>
            </w:r>
            <w:r w:rsidRPr="00232895">
              <w:rPr>
                <w:rFonts w:cs="Arial"/>
              </w:rPr>
              <w:t>AD of Workforce</w:t>
            </w:r>
            <w:r>
              <w:rPr>
                <w:rFonts w:cs="Arial"/>
              </w:rPr>
              <w:t xml:space="preserve"> NW London ICS</w:t>
            </w:r>
          </w:p>
          <w:p w14:paraId="78A62C57" w14:textId="7358027F" w:rsidR="005105DF" w:rsidRPr="000F2599" w:rsidRDefault="005105DF" w:rsidP="005105DF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368565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5050B3A2" w:rsidR="00B764AC" w:rsidRDefault="00B764AC" w:rsidP="00DB6D88">
            <w:pPr>
              <w:pStyle w:val="Infotext"/>
            </w:pP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66C33788" w:rsidR="00B764AC" w:rsidRDefault="0085182C" w:rsidP="00DB6D88">
            <w:pPr>
              <w:pStyle w:val="Infotext"/>
            </w:pPr>
            <w:r w:rsidRPr="0085182C">
              <w:t>Appendix A - NWL ICS Workforce Update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232895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DB6D88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1B1515" w14:paraId="2AE8E8CA" w14:textId="77777777" w:rsidTr="00232895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557B9FC" w14:textId="43852BB7" w:rsidR="001B1515" w:rsidRPr="00232895" w:rsidRDefault="001B1515" w:rsidP="00DB6D88">
            <w:r w:rsidRPr="00232895">
              <w:t xml:space="preserve">This report </w:t>
            </w:r>
            <w:r w:rsidR="00232895" w:rsidRPr="00232895">
              <w:t>provides an update on progress with NW London Workforce programmes</w:t>
            </w:r>
            <w:r w:rsidR="00232895">
              <w:t xml:space="preserve">. Recent successes and performance changes are highlighted </w:t>
            </w:r>
            <w:r w:rsidR="00731754">
              <w:t>as is</w:t>
            </w:r>
            <w:r w:rsidR="00232895">
              <w:t xml:space="preserve"> progress with NWL People Plan programmes and </w:t>
            </w:r>
            <w:r w:rsidR="00731754">
              <w:t>development of the ICP People Function.</w:t>
            </w:r>
          </w:p>
          <w:p w14:paraId="3186AFEC" w14:textId="77777777" w:rsidR="001B1515" w:rsidRDefault="001B1515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1717AD21" w14:textId="77777777" w:rsidR="001B1515" w:rsidRPr="00A160B2" w:rsidRDefault="001B1515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02598DE7" w14:textId="351A0331" w:rsidR="001B1515" w:rsidRPr="000F2599" w:rsidRDefault="00F510ED" w:rsidP="001B1515">
            <w:r>
              <w:t>No decisions are required; the paper is for noting.</w:t>
            </w:r>
          </w:p>
          <w:p w14:paraId="40A59243" w14:textId="77777777" w:rsidR="001B1515" w:rsidRDefault="001B1515" w:rsidP="00DB6D88"/>
        </w:tc>
      </w:tr>
    </w:tbl>
    <w:p w14:paraId="4F0F5EBB" w14:textId="0E7822CA" w:rsidR="00622741" w:rsidRPr="003313EA" w:rsidRDefault="00622741" w:rsidP="00622741">
      <w:pPr>
        <w:pStyle w:val="Infotext"/>
        <w:rPr>
          <w:i/>
          <w:color w:val="FF0000"/>
          <w:sz w:val="24"/>
          <w:szCs w:val="24"/>
        </w:rPr>
      </w:pPr>
    </w:p>
    <w:sectPr w:rsidR="00622741" w:rsidRPr="003313EA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7C5C" w14:textId="77777777" w:rsidR="007B26E0" w:rsidRDefault="007B26E0">
      <w:r>
        <w:separator/>
      </w:r>
    </w:p>
  </w:endnote>
  <w:endnote w:type="continuationSeparator" w:id="0">
    <w:p w14:paraId="16B05A87" w14:textId="77777777" w:rsidR="007B26E0" w:rsidRDefault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EB58" w14:textId="77777777" w:rsidR="007B26E0" w:rsidRDefault="007B26E0">
      <w:r>
        <w:separator/>
      </w:r>
    </w:p>
  </w:footnote>
  <w:footnote w:type="continuationSeparator" w:id="0">
    <w:p w14:paraId="6DD01E3D" w14:textId="77777777" w:rsidR="007B26E0" w:rsidRDefault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63C8B"/>
    <w:multiLevelType w:val="hybridMultilevel"/>
    <w:tmpl w:val="D5E2EA4C"/>
    <w:lvl w:ilvl="0" w:tplc="0D10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2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C9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F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E2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CF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5"/>
  </w:num>
  <w:num w:numId="4">
    <w:abstractNumId w:val="28"/>
  </w:num>
  <w:num w:numId="5">
    <w:abstractNumId w:val="12"/>
  </w:num>
  <w:num w:numId="6">
    <w:abstractNumId w:val="26"/>
  </w:num>
  <w:num w:numId="7">
    <w:abstractNumId w:val="19"/>
  </w:num>
  <w:num w:numId="8">
    <w:abstractNumId w:val="9"/>
  </w:num>
  <w:num w:numId="9">
    <w:abstractNumId w:val="37"/>
  </w:num>
  <w:num w:numId="10">
    <w:abstractNumId w:val="39"/>
  </w:num>
  <w:num w:numId="11">
    <w:abstractNumId w:val="2"/>
  </w:num>
  <w:num w:numId="12">
    <w:abstractNumId w:val="7"/>
  </w:num>
  <w:num w:numId="13">
    <w:abstractNumId w:val="20"/>
  </w:num>
  <w:num w:numId="14">
    <w:abstractNumId w:val="10"/>
  </w:num>
  <w:num w:numId="15">
    <w:abstractNumId w:val="35"/>
  </w:num>
  <w:num w:numId="16">
    <w:abstractNumId w:val="5"/>
  </w:num>
  <w:num w:numId="17">
    <w:abstractNumId w:val="25"/>
  </w:num>
  <w:num w:numId="18">
    <w:abstractNumId w:val="11"/>
  </w:num>
  <w:num w:numId="19">
    <w:abstractNumId w:val="17"/>
  </w:num>
  <w:num w:numId="20">
    <w:abstractNumId w:val="36"/>
  </w:num>
  <w:num w:numId="21">
    <w:abstractNumId w:val="34"/>
  </w:num>
  <w:num w:numId="22">
    <w:abstractNumId w:val="14"/>
  </w:num>
  <w:num w:numId="23">
    <w:abstractNumId w:val="40"/>
  </w:num>
  <w:num w:numId="24">
    <w:abstractNumId w:val="33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6"/>
  </w:num>
  <w:num w:numId="34">
    <w:abstractNumId w:val="4"/>
  </w:num>
  <w:num w:numId="35">
    <w:abstractNumId w:val="31"/>
  </w:num>
  <w:num w:numId="36">
    <w:abstractNumId w:val="41"/>
  </w:num>
  <w:num w:numId="37">
    <w:abstractNumId w:val="29"/>
  </w:num>
  <w:num w:numId="38">
    <w:abstractNumId w:val="3"/>
  </w:num>
  <w:num w:numId="39">
    <w:abstractNumId w:val="13"/>
  </w:num>
  <w:num w:numId="40">
    <w:abstractNumId w:val="0"/>
  </w:num>
  <w:num w:numId="41">
    <w:abstractNumId w:val="30"/>
  </w:num>
  <w:num w:numId="42">
    <w:abstractNumId w:val="2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0B33"/>
    <w:rsid w:val="00075CBB"/>
    <w:rsid w:val="000A33E4"/>
    <w:rsid w:val="000B74AD"/>
    <w:rsid w:val="000D594C"/>
    <w:rsid w:val="000D59D7"/>
    <w:rsid w:val="000F2599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70541"/>
    <w:rsid w:val="00176DB1"/>
    <w:rsid w:val="001A6BFF"/>
    <w:rsid w:val="001B1515"/>
    <w:rsid w:val="001C1569"/>
    <w:rsid w:val="001C2940"/>
    <w:rsid w:val="001E153E"/>
    <w:rsid w:val="001E282E"/>
    <w:rsid w:val="001E6E71"/>
    <w:rsid w:val="00205B6C"/>
    <w:rsid w:val="00232895"/>
    <w:rsid w:val="00234AB7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739BF"/>
    <w:rsid w:val="0037540E"/>
    <w:rsid w:val="003A2F0B"/>
    <w:rsid w:val="003D0D09"/>
    <w:rsid w:val="00431C38"/>
    <w:rsid w:val="00480D23"/>
    <w:rsid w:val="00482882"/>
    <w:rsid w:val="0049070E"/>
    <w:rsid w:val="004A659A"/>
    <w:rsid w:val="004D7310"/>
    <w:rsid w:val="004E104D"/>
    <w:rsid w:val="00507725"/>
    <w:rsid w:val="005105DF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377D6"/>
    <w:rsid w:val="0064559E"/>
    <w:rsid w:val="00646696"/>
    <w:rsid w:val="006660EE"/>
    <w:rsid w:val="00697988"/>
    <w:rsid w:val="006B5F35"/>
    <w:rsid w:val="006D7C86"/>
    <w:rsid w:val="00713DA0"/>
    <w:rsid w:val="007217F4"/>
    <w:rsid w:val="00731754"/>
    <w:rsid w:val="007444BF"/>
    <w:rsid w:val="00777253"/>
    <w:rsid w:val="00780A65"/>
    <w:rsid w:val="007B26E0"/>
    <w:rsid w:val="007E08CE"/>
    <w:rsid w:val="00812664"/>
    <w:rsid w:val="00823899"/>
    <w:rsid w:val="0085182C"/>
    <w:rsid w:val="008951A2"/>
    <w:rsid w:val="008C00C6"/>
    <w:rsid w:val="008D0C3A"/>
    <w:rsid w:val="008F1A15"/>
    <w:rsid w:val="00900324"/>
    <w:rsid w:val="00915FD6"/>
    <w:rsid w:val="00930C42"/>
    <w:rsid w:val="009366AD"/>
    <w:rsid w:val="00937DB5"/>
    <w:rsid w:val="009653D9"/>
    <w:rsid w:val="00973739"/>
    <w:rsid w:val="009761ED"/>
    <w:rsid w:val="0099246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AC28DC"/>
    <w:rsid w:val="00B05C5F"/>
    <w:rsid w:val="00B25AF8"/>
    <w:rsid w:val="00B36547"/>
    <w:rsid w:val="00B46301"/>
    <w:rsid w:val="00B50D94"/>
    <w:rsid w:val="00B75672"/>
    <w:rsid w:val="00B764AC"/>
    <w:rsid w:val="00B776F3"/>
    <w:rsid w:val="00B83D00"/>
    <w:rsid w:val="00B97261"/>
    <w:rsid w:val="00BD0B97"/>
    <w:rsid w:val="00BD6F2D"/>
    <w:rsid w:val="00C17AD6"/>
    <w:rsid w:val="00C236B6"/>
    <w:rsid w:val="00C316E9"/>
    <w:rsid w:val="00C37118"/>
    <w:rsid w:val="00C647A2"/>
    <w:rsid w:val="00C817CB"/>
    <w:rsid w:val="00C928FC"/>
    <w:rsid w:val="00CC1569"/>
    <w:rsid w:val="00CC306F"/>
    <w:rsid w:val="00D107B2"/>
    <w:rsid w:val="00D16E14"/>
    <w:rsid w:val="00D4068D"/>
    <w:rsid w:val="00D54442"/>
    <w:rsid w:val="00D86C2E"/>
    <w:rsid w:val="00DA38BD"/>
    <w:rsid w:val="00DB464E"/>
    <w:rsid w:val="00DE0604"/>
    <w:rsid w:val="00DE6CC7"/>
    <w:rsid w:val="00E0775D"/>
    <w:rsid w:val="00E1193A"/>
    <w:rsid w:val="00E446E9"/>
    <w:rsid w:val="00E55314"/>
    <w:rsid w:val="00E91983"/>
    <w:rsid w:val="00F037DB"/>
    <w:rsid w:val="00F1064F"/>
    <w:rsid w:val="00F12C0A"/>
    <w:rsid w:val="00F45ADF"/>
    <w:rsid w:val="00F510ED"/>
    <w:rsid w:val="00F63742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94471-F152-40FB-8AFF-B35B9BA76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A6184-5BD1-4CF9-8BC0-C3DB07F8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Andrew Seaman</cp:lastModifiedBy>
  <cp:revision>6</cp:revision>
  <cp:lastPrinted>2009-12-01T14:09:00Z</cp:lastPrinted>
  <dcterms:created xsi:type="dcterms:W3CDTF">2021-11-29T14:15:00Z</dcterms:created>
  <dcterms:modified xsi:type="dcterms:W3CDTF">2021-12-06T14:21:00Z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